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pict>
          <v:shape id="_x0000_i1025" o:spt="136" type="#_x0000_t136" style="height:57pt;width:425.25pt;" fillcolor="#FFFFFF" filled="t" stroked="t" coordsize="21600,21600" adj="10800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伊春市嘉荫生态环境局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嘉环建审〔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44"/>
          <w:szCs w:val="44"/>
          <w:lang w:val="en-US" w:eastAsia="zh-CN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嘉荫县鑫汇平顶山矿业有限责任公司岩金矿深部详查工程建设项目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环境影响报告表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0"/>
          <w:u w:val="none"/>
          <w:lang w:val="en-US" w:eastAsia="zh-CN"/>
        </w:rPr>
        <w:t>嘉荫县鑫汇平顶山矿业有限责任公司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嘉荫县鑫汇平顶山矿业有限责任公司岩金矿深部详查工程建设项目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（以下简称《报告表》）已收悉，经审查，经专家组评审后，本项目的建设符合国家相关政策和产业结构调整方向，现将审批意见批复如下：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一、具体内容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项目名称：嘉荫县鑫汇平顶山矿业有限责任公司岩金矿深部详查工程项目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建设地点：黑龙江省伊春市嘉荫县鑫汇平顶山矿业有限责任公司矿区内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建设单位：嘉荫县鑫汇平顶山矿业有限责任公司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环境影响评价机构：黑龙江山人环保科技有限公司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项目内容：在原有采矿工程基础上，进行深部探矿工程。利用原有巷道，继续进行采掘开拓，在214及174中段形成钻探工程，设计施工坑内钻 8 个，在254、214、174 中段设计坑探工程，施工平巷 9199m，其中机动800m。并进行系统取样进行基本分析，确定矿脉位置，布置沿脉巷道追索、控制矿体分布情况。坑探施工工序包括凿岩、爆破、出渣、支护、取样等环节。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总投资：7000万元，环保投资：79万元。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污染防治措施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一、建设期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1、环境空气影响分析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施工过程中产生的扬尘以无组织形式排放，采用湿式作业方式。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在区内设若干个洒水点，对易起尘的作业场所采用湿法喷洒，定期洒水抑尘。在土石方装卸过程中进行喷雾降尘。对输送汽车设置篷布遮盖，罩上防尘网，减少扬尘污染。表土尽量集中堆放，缩小粉尘影响范围。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2、水环境影响分析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区内生活污水排入防渗旱厕，定期清掏不外排。本项目在每个钻孔附近处设置临时沉淀池，用于处理钻探废水，钻探废水经沉淀处理后回用于钻探冷却用水，钻探工程施工结束后钻探用水可用于施工场地洒水抑尘、封孔水泥搅拌用，不外排。井下涌水经沉淀池处理后回用于井下作业和抑尘、工业场地抑尘，正常涌水量不外排，全部回用。工业场地初期雨水回用于矿区地表抑尘，不外排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3、声环境影响分析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项目施工期噪声主要来源于各种机械设备。设备选型时，优先选用低噪音设备。钻孔施工应统筹合理安排时间，避免夜间施工。对钻机安装排气软管和阻抗式消声器，柴油发电机采用橡胶减震垫等措施。尽量压缩汽车数量和行车密度，途经敏感点减速慢行，禁止夜间运输、要限制车速、合理装载、禁止鸣笛、间断运行。对设备制定定期检查和维修制度，以减少设备非正常运转产生的噪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4、固体废物环境影响分析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施工过程中产生的土石方，应分区存放，土石方应及时回填，表土应及时覆土，及时绿化，避免长期堆放。沉淀池泥浆经干化后提升至地表，装袋后存放周边弃渣场。岩芯和坑探取样全部送实验室进行化验分析。施工人员自行收集生活垃圾送到指定场所处置，严禁野外随意丢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二、探矿结束后生态环境防护措施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施工期环境保护管理，做好施工期规划，做到边施工边进行环境保护，加强对施工及工作人员的环保意识教育，施工结束后，应立即对破坏的植被进行恢复。工时严格控制施工占地，将施工区控制在工程征用的土地范围内。合理安排施工季节和作业时间，优化施工方案，减少废弃土石方的临时堆放时间，尽量避免雨季进行大量动土和开挖工程，减少水土流失。另外在堆土场四周开挖简易排水沟，有利于及时排走降雨，防止雨水在堆体四周淤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建设单位必须严格落实报告表提出的各项环保措施，保证各配套环保设备正常运行。保证环境保护设施建设与主体工程建设 “三同时”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项目竣工后，建设单位须按规定程序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自行验收，相关文件报备至本地区生态环境部门备案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积极配合日后环境监管。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严格执行生态保护措施，如发生重大变动，须重新审批。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320" w:firstLineChars="19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firstLine="280" w:firstLineChars="100"/>
        <w:jc w:val="both"/>
        <w:textAlignment w:val="auto"/>
        <w:outlineLvl w:val="9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3" o:spid="_x0000_s1033" o:spt="20" style="position:absolute;left:0pt;margin-left:0pt;margin-top:28.6pt;height:0pt;width:448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4" o:spid="_x0000_s1034" o:spt="20" style="position:absolute;left:0pt;margin-left:0pt;margin-top:1.6pt;height:0pt;width:448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531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B95"/>
    <w:multiLevelType w:val="singleLevel"/>
    <w:tmpl w:val="3F777B9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MTNiZTM1ZTkzNWUxNjhjNTQzMjg5NDIzNjE5OGMifQ=="/>
  </w:docVars>
  <w:rsids>
    <w:rsidRoot w:val="001B0C2F"/>
    <w:rsid w:val="0001730E"/>
    <w:rsid w:val="001B0C2F"/>
    <w:rsid w:val="001E0FB5"/>
    <w:rsid w:val="005B0F7C"/>
    <w:rsid w:val="006C414B"/>
    <w:rsid w:val="009A63DC"/>
    <w:rsid w:val="009D2AD3"/>
    <w:rsid w:val="00EF10B6"/>
    <w:rsid w:val="010D0030"/>
    <w:rsid w:val="025E3ACE"/>
    <w:rsid w:val="03534BA3"/>
    <w:rsid w:val="04B45A07"/>
    <w:rsid w:val="060A133A"/>
    <w:rsid w:val="068A39D5"/>
    <w:rsid w:val="0ABA65F9"/>
    <w:rsid w:val="0DDD4B8A"/>
    <w:rsid w:val="10643BE8"/>
    <w:rsid w:val="11111022"/>
    <w:rsid w:val="13820A34"/>
    <w:rsid w:val="14455071"/>
    <w:rsid w:val="149A7A47"/>
    <w:rsid w:val="153A470C"/>
    <w:rsid w:val="17957348"/>
    <w:rsid w:val="18496D0F"/>
    <w:rsid w:val="186A2FA6"/>
    <w:rsid w:val="1E790D19"/>
    <w:rsid w:val="21CE2586"/>
    <w:rsid w:val="23E341AC"/>
    <w:rsid w:val="2414155B"/>
    <w:rsid w:val="269C129A"/>
    <w:rsid w:val="26CC1D22"/>
    <w:rsid w:val="28EC4343"/>
    <w:rsid w:val="2A1349DD"/>
    <w:rsid w:val="2B193335"/>
    <w:rsid w:val="2E0F1DA6"/>
    <w:rsid w:val="32770ED0"/>
    <w:rsid w:val="365B5056"/>
    <w:rsid w:val="39D16722"/>
    <w:rsid w:val="39ED67B4"/>
    <w:rsid w:val="3B7072B8"/>
    <w:rsid w:val="3ED2362F"/>
    <w:rsid w:val="3FD91FBA"/>
    <w:rsid w:val="40A419DF"/>
    <w:rsid w:val="42674667"/>
    <w:rsid w:val="47E425FE"/>
    <w:rsid w:val="498106AE"/>
    <w:rsid w:val="4B4B6D7C"/>
    <w:rsid w:val="4C0A5E75"/>
    <w:rsid w:val="50925F6D"/>
    <w:rsid w:val="54284C14"/>
    <w:rsid w:val="5905198F"/>
    <w:rsid w:val="5A7C2027"/>
    <w:rsid w:val="5D821EBD"/>
    <w:rsid w:val="60845921"/>
    <w:rsid w:val="60BC0CEF"/>
    <w:rsid w:val="614C1A72"/>
    <w:rsid w:val="617C2ED8"/>
    <w:rsid w:val="68B808FF"/>
    <w:rsid w:val="68C42AB2"/>
    <w:rsid w:val="693C36A0"/>
    <w:rsid w:val="6A6E2CEB"/>
    <w:rsid w:val="6C7632B5"/>
    <w:rsid w:val="6E8D27C7"/>
    <w:rsid w:val="6F00224C"/>
    <w:rsid w:val="71323A25"/>
    <w:rsid w:val="71EE23F6"/>
    <w:rsid w:val="753E2BFF"/>
    <w:rsid w:val="75DE2E7A"/>
    <w:rsid w:val="76E463EA"/>
    <w:rsid w:val="78E63066"/>
    <w:rsid w:val="79ED2BD0"/>
    <w:rsid w:val="7ABD276F"/>
    <w:rsid w:val="7C4D1716"/>
    <w:rsid w:val="7D28064C"/>
    <w:rsid w:val="7E8A15D3"/>
    <w:rsid w:val="7FE64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eastAsia="仿宋_GB2312"/>
      <w:kern w:val="2"/>
      <w:sz w:val="21"/>
    </w:rPr>
  </w:style>
  <w:style w:type="paragraph" w:styleId="5">
    <w:name w:val="Body Text"/>
    <w:basedOn w:val="1"/>
    <w:next w:val="6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6">
    <w:name w:val="Normal (Web)1"/>
    <w:basedOn w:val="1"/>
    <w:next w:val="7"/>
    <w:qFormat/>
    <w:uiPriority w:val="0"/>
    <w:pPr>
      <w:widowControl/>
      <w:jc w:val="left"/>
    </w:pPr>
    <w:rPr>
      <w:rFonts w:ascii="宋体" w:cs="Times New Roman"/>
      <w:kern w:val="0"/>
      <w:sz w:val="24"/>
      <w:szCs w:val="21"/>
    </w:rPr>
  </w:style>
  <w:style w:type="paragraph" w:customStyle="1" w:styleId="7">
    <w:name w:val="Date1"/>
    <w:basedOn w:val="1"/>
    <w:next w:val="1"/>
    <w:qFormat/>
    <w:uiPriority w:val="0"/>
    <w:pPr>
      <w:ind w:left="2500" w:leftChars="2500"/>
    </w:pPr>
  </w:style>
  <w:style w:type="paragraph" w:styleId="8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line="360" w:lineRule="auto"/>
    </w:pPr>
    <w:rPr>
      <w:b/>
      <w:sz w:val="24"/>
    </w:rPr>
  </w:style>
  <w:style w:type="paragraph" w:styleId="13">
    <w:name w:val="List"/>
    <w:basedOn w:val="1"/>
    <w:next w:val="1"/>
    <w:qFormat/>
    <w:uiPriority w:val="0"/>
    <w:pPr>
      <w:ind w:left="200" w:hanging="200" w:hangingChars="200"/>
    </w:pPr>
  </w:style>
  <w:style w:type="paragraph" w:styleId="14">
    <w:name w:val="toc 2"/>
    <w:basedOn w:val="1"/>
    <w:next w:val="1"/>
    <w:semiHidden/>
    <w:qFormat/>
    <w:uiPriority w:val="0"/>
    <w:pPr>
      <w:ind w:left="420" w:leftChars="200"/>
    </w:pPr>
  </w:style>
  <w:style w:type="paragraph" w:styleId="1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opLinePunct/>
      <w:spacing w:line="360" w:lineRule="auto"/>
      <w:ind w:left="1080" w:leftChars="500" w:hanging="1080" w:hangingChars="500"/>
    </w:pPr>
    <w:rPr>
      <w:rFonts w:ascii="Arial" w:hAnsi="Arial" w:eastAsia="仿宋_GB2312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basedOn w:val="1"/>
    <w:next w:val="18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customStyle="1" w:styleId="18">
    <w:name w:val="样式 正文首行缩进 + 首行缩进:  2 字符1"/>
    <w:basedOn w:val="1"/>
    <w:next w:val="12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19">
    <w:name w:val="Body Text First Indent 2"/>
    <w:basedOn w:val="1"/>
    <w:next w:val="17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22">
    <w:name w:val="Default"/>
    <w:basedOn w:val="23"/>
    <w:next w:val="24"/>
    <w:qFormat/>
    <w:uiPriority w:val="0"/>
    <w:pPr>
      <w:widowControl w:val="0"/>
      <w:tabs>
        <w:tab w:val="left" w:pos="4440"/>
      </w:tabs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5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hAnsi="宋体" w:cs="宋体"/>
      <w:szCs w:val="24"/>
    </w:rPr>
  </w:style>
  <w:style w:type="paragraph" w:customStyle="1" w:styleId="26">
    <w:name w:val="表头"/>
    <w:basedOn w:val="13"/>
    <w:next w:val="27"/>
    <w:qFormat/>
    <w:uiPriority w:val="0"/>
    <w:pPr>
      <w:tabs>
        <w:tab w:val="left" w:pos="4440"/>
      </w:tabs>
      <w:autoSpaceDE w:val="0"/>
      <w:autoSpaceDN w:val="0"/>
      <w:adjustRightInd w:val="0"/>
      <w:snapToGrid w:val="0"/>
      <w:spacing w:beforeLines="25" w:afterLines="25" w:line="360" w:lineRule="auto"/>
      <w:ind w:firstLine="200" w:firstLineChars="200"/>
      <w:jc w:val="center"/>
      <w:textAlignment w:val="bottom"/>
    </w:pPr>
    <w:rPr>
      <w:rFonts w:ascii="黑体" w:hAnsi="Calibri" w:eastAsia="黑体" w:cs="Times New Roman"/>
      <w:spacing w:val="16"/>
      <w:kern w:val="0"/>
      <w:sz w:val="24"/>
      <w:szCs w:val="24"/>
    </w:rPr>
  </w:style>
  <w:style w:type="paragraph" w:customStyle="1" w:styleId="27">
    <w:name w:val="表1"/>
    <w:next w:val="1"/>
    <w:qFormat/>
    <w:uiPriority w:val="0"/>
    <w:pPr>
      <w:adjustRightInd w:val="0"/>
      <w:snapToGrid w:val="0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character" w:customStyle="1" w:styleId="29">
    <w:name w:val="页眉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0"/>
    <w:semiHidden/>
    <w:qFormat/>
    <w:uiPriority w:val="99"/>
    <w:rPr>
      <w:sz w:val="18"/>
      <w:szCs w:val="18"/>
    </w:rPr>
  </w:style>
  <w:style w:type="character" w:customStyle="1" w:styleId="31">
    <w:name w:val="批注框文本 Char"/>
    <w:basedOn w:val="21"/>
    <w:link w:val="9"/>
    <w:semiHidden/>
    <w:qFormat/>
    <w:uiPriority w:val="99"/>
    <w:rPr>
      <w:sz w:val="18"/>
      <w:szCs w:val="18"/>
    </w:rPr>
  </w:style>
  <w:style w:type="paragraph" w:customStyle="1" w:styleId="32">
    <w:name w:val="【正文】"/>
    <w:basedOn w:val="1"/>
    <w:next w:val="15"/>
    <w:qFormat/>
    <w:uiPriority w:val="99"/>
    <w:pPr>
      <w:spacing w:line="360" w:lineRule="auto"/>
      <w:ind w:firstLine="480" w:firstLineChars="200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33">
    <w:name w:val="正文00"/>
    <w:basedOn w:val="1"/>
    <w:next w:val="34"/>
    <w:qFormat/>
    <w:uiPriority w:val="0"/>
    <w:pPr>
      <w:spacing w:line="360" w:lineRule="auto"/>
      <w:ind w:left="480" w:firstLine="3808"/>
    </w:pPr>
    <w:rPr>
      <w:kern w:val="0"/>
      <w:sz w:val="20"/>
      <w:szCs w:val="20"/>
    </w:rPr>
  </w:style>
  <w:style w:type="paragraph" w:customStyle="1" w:styleId="34">
    <w:name w:val="样式 Times New Roman 五号 居中1"/>
    <w:basedOn w:val="1"/>
    <w:next w:val="26"/>
    <w:qFormat/>
    <w:uiPriority w:val="0"/>
    <w:pPr>
      <w:ind w:firstLine="3584"/>
      <w:jc w:val="center"/>
    </w:pPr>
    <w:rPr>
      <w:kern w:val="0"/>
      <w:sz w:val="20"/>
      <w:szCs w:val="20"/>
    </w:rPr>
  </w:style>
  <w:style w:type="paragraph" w:customStyle="1" w:styleId="35">
    <w:name w:val="a正文"/>
    <w:basedOn w:val="36"/>
    <w:qFormat/>
    <w:uiPriority w:val="0"/>
    <w:pPr>
      <w:ind w:firstLine="480"/>
    </w:pPr>
    <w:rPr>
      <w:rFonts w:cs="Times New Roman"/>
    </w:rPr>
  </w:style>
  <w:style w:type="paragraph" w:customStyle="1" w:styleId="36">
    <w:name w:val="正文格式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1209</Words>
  <Characters>1261</Characters>
  <Lines>1</Lines>
  <Paragraphs>1</Paragraphs>
  <TotalTime>7</TotalTime>
  <ScaleCrop>false</ScaleCrop>
  <LinksUpToDate>false</LinksUpToDate>
  <CharactersWithSpaces>1322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2023-03-27T00:09:00Z</dcterms:created>
  <dc:creator>Administrator</dc:creator>
  <cp:lastModifiedBy>啡杯</cp:lastModifiedBy>
  <cp:lastPrinted>2025-07-02T01:53:00Z</cp:lastPrinted>
  <dcterms:modified xsi:type="dcterms:W3CDTF">2025-07-02T01:53:30Z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C704A37A80F64AEA97A70A9E22318C8F_12</vt:lpwstr>
  </property>
  <property fmtid="{D5CDD505-2E9C-101B-9397-08002B2CF9AE}" pid="4" name="KSOTemplateDocerSaveRecord">
    <vt:lpwstr>eyJoZGlkIjoiZjg1ZDNjODk3YmJjMTkxZTA0MGU1NjA0MzdlNDUzYTUiLCJ1c2VySWQiOiI2MzU0OTQzNjIifQ==</vt:lpwstr>
  </property>
</Properties>
</file>